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80" w:rsidRDefault="00222BA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Додаток 1.</w:t>
      </w:r>
    </w:p>
    <w:p w:rsidR="00342180" w:rsidRDefault="00222BAF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Світлина. Повне зображення.</w:t>
      </w:r>
    </w:p>
    <w:p w:rsidR="00342180" w:rsidRDefault="00222BAF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>
            <wp:extent cx="5305425" cy="35909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590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2180" w:rsidRDefault="00222BAF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Одна частина зображення</w:t>
      </w:r>
    </w:p>
    <w:p w:rsidR="00342180" w:rsidRDefault="00222BAF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114300" distB="114300" distL="114300" distR="114300">
            <wp:extent cx="3064242" cy="408565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242" cy="40856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2180" w:rsidRDefault="00222BA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</w:p>
    <w:p w:rsidR="00342180" w:rsidRDefault="00222BA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Зі спогадів Праведниці Бабиного Яру Ольги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Ромченко</w:t>
      </w:r>
      <w:proofErr w:type="spellEnd"/>
    </w:p>
    <w:p w:rsidR="00342180" w:rsidRDefault="00222BAF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«До війни ми жили в невеликому будинку в Києві, незважаючи на те, що в ньому було всього 22 квартири, дітей у нашому дворі жило більше як півсотні. Нашими сусідами була єврейська сім’я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Баташових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 них було дві дівчинки-близнючки Геня та Ліза, а також сест</w:t>
      </w:r>
      <w:r>
        <w:rPr>
          <w:rFonts w:ascii="Times New Roman" w:eastAsia="Times New Roman" w:hAnsi="Times New Roman" w:cs="Times New Roman"/>
          <w:sz w:val="24"/>
          <w:szCs w:val="24"/>
        </w:rPr>
        <w:t>ра Маня та брат.</w:t>
      </w:r>
    </w:p>
    <w:p w:rsidR="00342180" w:rsidRDefault="00222BAF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 27 вересня був вивішений указ німців про те, що всі євреї міста Києва повинні з’явитися в район єврейського цвинтаря біля вулиці Мельникова, ніхто не знав, що станеться. Люди розцінювали по-різному. Водопостачання було відключене, сві</w:t>
      </w:r>
      <w:r>
        <w:rPr>
          <w:rFonts w:ascii="Times New Roman" w:eastAsia="Times New Roman" w:hAnsi="Times New Roman" w:cs="Times New Roman"/>
          <w:sz w:val="24"/>
          <w:szCs w:val="24"/>
        </w:rPr>
        <w:t>тла теж не було, радіо не працювало, тож кияни жили лише догадками.</w:t>
      </w:r>
    </w:p>
    <w:p w:rsidR="00342180" w:rsidRDefault="00222BAF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Але ніхто ж ніколи не думав, що мирне населення: дітей та жінок беззахисних будуть розстрілювати. Ми знали, що в районі Бабиного Яру був цегляний завод, до якого була підведена залізнична </w:t>
      </w:r>
      <w:r>
        <w:rPr>
          <w:rFonts w:ascii="Times New Roman" w:eastAsia="Times New Roman" w:hAnsi="Times New Roman" w:cs="Times New Roman"/>
          <w:sz w:val="24"/>
          <w:szCs w:val="24"/>
        </w:rPr>
        <w:t>станція. Так всі були переконані, що євреїв просто відправлять на роботу.</w:t>
      </w:r>
    </w:p>
    <w:p w:rsidR="00342180" w:rsidRDefault="00222BAF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 вересня я проводила подруг, але мама дозволила йти лише до Лук’янівського ринку, де я і попрощалася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Баташовими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Пізньої ночі Геня і Маня прибігли до нас додому, постукали в наше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вікно і, коли я їм відчинила, вони впали на підлогу з криком: «Наших всіх розстріляли».</w:t>
      </w:r>
    </w:p>
    <w:p w:rsidR="00342180" w:rsidRDefault="00222BA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Джерело: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електронне видання «BIG KYIV», 29.09.2020.</w:t>
      </w:r>
    </w:p>
    <w:p w:rsidR="00342180" w:rsidRDefault="00222BA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Посилання: </w:t>
      </w:r>
      <w:hyperlink r:id="rId8">
        <w:r>
          <w:rPr>
            <w:rFonts w:ascii="Times New Roman" w:eastAsia="Times New Roman" w:hAnsi="Times New Roman" w:cs="Times New Roman"/>
            <w:b/>
            <w:sz w:val="20"/>
            <w:szCs w:val="20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http://surl.li/aavvf</w:t>
        </w:r>
      </w:hyperlink>
    </w:p>
    <w:p w:rsidR="00342180" w:rsidRDefault="00222BAF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222BAF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3.</w:t>
      </w:r>
    </w:p>
    <w:p w:rsidR="00342180" w:rsidRDefault="00222BAF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5492224" cy="3721181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224" cy="372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2180" w:rsidRDefault="00222BAF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"http://history.kby.kiev.ua/data/341/b1bph37.jpg" </w:instrText>
      </w:r>
      <w:r>
        <w:fldChar w:fldCharType="separate"/>
      </w:r>
    </w:p>
    <w:p w:rsidR="00342180" w:rsidRDefault="00222B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Документ. Німецький наказ про збір євреїв м. Києва, вивішений 28 вересня 1941 р.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180" w:rsidRDefault="00222BA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Джерело: “</w:t>
      </w:r>
      <w:r>
        <w:rPr>
          <w:rFonts w:ascii="Times New Roman" w:eastAsia="Times New Roman" w:hAnsi="Times New Roman" w:cs="Times New Roman"/>
          <w:sz w:val="24"/>
          <w:szCs w:val="24"/>
        </w:rPr>
        <w:t>БАБИН ЯР: людина, влада, історія. Документи і матеріали”. Електронне видання. Посилання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http://history.kby.kiev.ua/</w:t>
        </w:r>
      </w:hyperlink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222BAF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4.</w:t>
      </w:r>
    </w:p>
    <w:p w:rsidR="00342180" w:rsidRDefault="00222BAF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…До світової історії Бабин Яр увійшов восени 1941 року, коли упродовж двох днів тут було вбито майже 34 тисячі київських євреїв – лише через те, що нацистська Німеччина прагнула знищити євреїв у всьому світі. Тому Бабин Яр став одним із символів Голокосту.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Під час війни в цьому місці вбивали та ховали не лише євреїв. Серед загиблих були також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пацієнти психіатричної лікарні, діячі українського націоналістичного руху, радянські військовополонені, підпільники, цивільні заручники та засуджені окупаційною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владою на смерть. Кількість жертв, за оцінками істориків, сягає щонайменше 100 тисяч людей, більшість з яких (понад дві третини) були євреями. Майже одразу по війні Бабин Яр став об’єктом політичних зловживань і маніпуляцій та боротьби за право пам’ятати.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Радянський режим упродовж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десятиріч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намагався знищити сам Яр і пам’ять про його жертви.</w:t>
      </w:r>
    </w:p>
    <w:p w:rsidR="00342180" w:rsidRDefault="00222BA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Зі вступу до збірника «Бабин Яр: пам'ять на тлі історії».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Путівник для вчителя: збірник навчально-методичних розробок шкільних занять на основі віртуальної виставки та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документального фільму / Ред.-упор.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Бобров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– Київ: Український центр вивчення історії Голокосту, 2018. – 156 с</w:t>
      </w:r>
    </w:p>
    <w:p w:rsidR="00342180" w:rsidRDefault="00222BAF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Посилання на електронну версію: </w:t>
      </w:r>
      <w:hyperlink r:id="rId1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http://osvita.kby.kiev.ua/</w:t>
        </w:r>
      </w:hyperlink>
    </w:p>
    <w:p w:rsidR="00342180" w:rsidRDefault="00342180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180" w:rsidRDefault="00222BAF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180" w:rsidRDefault="00342180">
      <w:pPr>
        <w:spacing w:before="240" w:after="240" w:line="276" w:lineRule="auto"/>
        <w:ind w:firstLine="7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180" w:rsidRDefault="0034218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342180" w:rsidRDefault="00342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4218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D2D88"/>
    <w:multiLevelType w:val="multilevel"/>
    <w:tmpl w:val="085AC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E2453D1"/>
    <w:multiLevelType w:val="multilevel"/>
    <w:tmpl w:val="9F5AA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80"/>
    <w:rsid w:val="00222BAF"/>
    <w:rsid w:val="003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FD298-F9CC-46E1-B81C-975B0AEF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aavvf" TargetMode="External"/><Relationship Id="rId13" Type="http://schemas.openxmlformats.org/officeDocument/2006/relationships/hyperlink" Target="http://history.kby.kiev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history.kby.kiev.u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history.kby.kiev.ua/data/341/b1bph37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surl.li/aavvf" TargetMode="External"/><Relationship Id="rId14" Type="http://schemas.openxmlformats.org/officeDocument/2006/relationships/hyperlink" Target="http://osvita.kby.kie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gPZmyp/qeF4Zgc3kdTlKj7A6nQ==">AMUW2mUCc7Ymt9pScYreS1g+oEPyHvAH4MAUXC06uCr8eYHEfSBLQXO0bHDN0hGKM8k/+IxZXKcfRIP8tvW+e5gEc2dZHb/YBY/Li4Gay2TJjEQ7vg/r1IGVjUOekpAfM1tpsNccGrfv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Герасим</cp:lastModifiedBy>
  <cp:revision>2</cp:revision>
  <dcterms:created xsi:type="dcterms:W3CDTF">2021-07-29T17:53:00Z</dcterms:created>
  <dcterms:modified xsi:type="dcterms:W3CDTF">2021-07-29T17:54:00Z</dcterms:modified>
</cp:coreProperties>
</file>