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DA" w:rsidRDefault="00131E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EDA" w:rsidRDefault="00907B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1.</w:t>
      </w:r>
    </w:p>
    <w:p w:rsidR="00131EDA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визначенням Комітету міністрів Ради Європи під мовою ворожнечі слід розуміти будь-які висловлювання, які поширюють, підбурюють, пропагують або виправдовують расову ненависть, ксенофобію, антисемітизм та інші форми ворожнечі на основі нетолерантності.</w:t>
      </w:r>
    </w:p>
    <w:p w:rsidR="00131EDA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ва ворожнечі – це не обов’язково агресивна лексика, яка прямо закликає до якої-небудь дискримінації. В першу чергу йдеться про створення негативних стереотипів стосовно певних соціальних груп населення.</w:t>
      </w:r>
    </w:p>
    <w:p w:rsidR="00131EDA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Мова ворожнечі може проявлятись не лише через “мову” </w:t>
      </w:r>
      <w:r>
        <w:rPr>
          <w:rFonts w:ascii="Times New Roman" w:eastAsia="Times New Roman" w:hAnsi="Times New Roman" w:cs="Times New Roman"/>
          <w:sz w:val="28"/>
          <w:szCs w:val="28"/>
        </w:rPr>
        <w:t>як таку, а й через різноманітні аудіовізуальні засоби, наприклад, малюнки, відеоролики, фотографії тощо, а також в більш звичній “текстовій” формі.</w:t>
      </w:r>
    </w:p>
    <w:p w:rsidR="00131EDA" w:rsidRDefault="00131E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EDA" w:rsidRDefault="00131E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EDA" w:rsidRDefault="00907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Додаток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31EDA" w:rsidRDefault="00131ED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DA" w:rsidRDefault="00907B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Ситуація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 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даних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Держав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служби статистики, жінки отримують на 36,5% меншу </w:t>
      </w:r>
      <w:r>
        <w:rPr>
          <w:rFonts w:ascii="Times New Roman" w:eastAsia="Times New Roman" w:hAnsi="Times New Roman" w:cs="Times New Roman"/>
          <w:sz w:val="28"/>
          <w:szCs w:val="28"/>
        </w:rPr>
        <w:t>зарплату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ніж чоловіки при рівних посадах та навичках.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Верховній Раді сьогодні лише 1</w:t>
      </w:r>
      <w:r>
        <w:rPr>
          <w:rFonts w:ascii="Times New Roman" w:eastAsia="Times New Roman" w:hAnsi="Times New Roman" w:cs="Times New Roman"/>
          <w:sz w:val="28"/>
          <w:szCs w:val="28"/>
        </w:rPr>
        <w:t>1,85 % від загального складу депутатів – жінки, причому це найбільша цифра за часи незалежної України</w:t>
      </w:r>
      <w:r>
        <w:rPr>
          <w:sz w:val="28"/>
          <w:szCs w:val="28"/>
        </w:rPr>
        <w:t>.</w:t>
      </w:r>
    </w:p>
    <w:p w:rsidR="00131EDA" w:rsidRDefault="00131E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1EDA" w:rsidRDefault="00907B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BFC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Ситуація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Упевненість, що оголене жіноче тіло продасть будь-який товар, схоже, не полишає голови багатьох українських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рекламотворців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Тому на багать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білбордах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країни спокусливі жіночі образи у непристойних позах чи з неоднозначними репліками “продають” все: від бетону до суші. </w:t>
      </w:r>
      <w:r>
        <w:rPr>
          <w:rFonts w:ascii="Times New Roman" w:eastAsia="Times New Roman" w:hAnsi="Times New Roman" w:cs="Times New Roman"/>
          <w:sz w:val="28"/>
          <w:szCs w:val="28"/>
        </w:rPr>
        <w:t>Причому вікового обмеження немає: цю рекламу бачать усі, в тому числі діти та підлітки, стверджуючись у відповідному 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і до жінки як до тіла.</w:t>
      </w:r>
    </w:p>
    <w:p w:rsidR="00131EDA" w:rsidRDefault="00131E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1EDA" w:rsidRDefault="00907BFC" w:rsidP="00907B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BFC">
        <w:rPr>
          <w:rFonts w:ascii="Times New Roman" w:eastAsia="Times New Roman" w:hAnsi="Times New Roman" w:cs="Times New Roman"/>
          <w:b/>
          <w:i/>
          <w:sz w:val="28"/>
          <w:szCs w:val="28"/>
        </w:rPr>
        <w:t>Ситуація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Турбота про дітей в Україні - жіноча справа. Саме жінки надовго йдуть у декрет, беруть відпустку, коли дитина хворіє, саме бабусі дивляться за онуками, навіть якщо дідусь теж у наявності. І поки чоловіки розвиваються про</w:t>
      </w:r>
      <w:r>
        <w:rPr>
          <w:rFonts w:ascii="Times New Roman" w:eastAsia="Times New Roman" w:hAnsi="Times New Roman" w:cs="Times New Roman"/>
          <w:sz w:val="28"/>
          <w:szCs w:val="28"/>
        </w:rPr>
        <w:t>фесійно або відпочивають, жінка зайнята у неоплачуваній сфері, робота в якій не помічається та сприймається як належне.</w:t>
      </w:r>
    </w:p>
    <w:p w:rsidR="00131EDA" w:rsidRDefault="00131E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31EDA" w:rsidRDefault="00907B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B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Ситуація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Суддя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Радехівського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суду Львівської області за зґвалтування </w:t>
      </w:r>
      <w:r>
        <w:rPr>
          <w:rFonts w:ascii="Times New Roman" w:eastAsia="Times New Roman" w:hAnsi="Times New Roman" w:cs="Times New Roman"/>
          <w:sz w:val="28"/>
          <w:szCs w:val="28"/>
        </w:rPr>
        <w:t>неповнолітньої призначає умовний вирок та 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грн. 21 коп. штрафу на користь держави.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Іванківський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районний суд Київської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звільняє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ґвалтівника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відбування </w:t>
      </w:r>
      <w:r>
        <w:rPr>
          <w:rFonts w:ascii="Times New Roman" w:eastAsia="Times New Roman" w:hAnsi="Times New Roman" w:cs="Times New Roman"/>
          <w:sz w:val="28"/>
          <w:szCs w:val="28"/>
        </w:rPr>
        <w:t>покарання з іспитовим терміном.</w:t>
      </w:r>
    </w:p>
    <w:p w:rsidR="00131EDA" w:rsidRDefault="00131EDA">
      <w:pPr>
        <w:spacing w:after="0"/>
        <w:rPr>
          <w:rFonts w:ascii="Times New Roman" w:eastAsia="Times New Roman" w:hAnsi="Times New Roman" w:cs="Times New Roman"/>
          <w:i/>
          <w:color w:val="4F81BD"/>
          <w:sz w:val="28"/>
          <w:szCs w:val="28"/>
        </w:rPr>
      </w:pPr>
    </w:p>
    <w:p w:rsidR="00131EDA" w:rsidRDefault="00907BF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3.</w:t>
      </w:r>
    </w:p>
    <w:p w:rsidR="00131EDA" w:rsidRDefault="00907BF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зі статистичними даними, 1837 року в Київській губернії було 37 самогубств зганьблених дівчат. Ось одна із таких сумних історій.</w:t>
      </w:r>
    </w:p>
    <w:p w:rsidR="00907BFC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Катерина закохується в москаля Івана й таємно з ним зустрічається, плекає надії на щасливе заміжжя. Через деякий час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йшла звістка, що москалі мають вирушати в похід. Іван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біцяє Катерині, що повернеться. Після від’їзду Івана дівчина чує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під серцем нове життя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сумує, але не втрачає надії на повернення коханого.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DA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Згодом  Катерина народжує дитину. Вона все ще виглядає свого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коханого. Люди ж у селі сміються з неї, глузують, засуджують. Мати 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батько вирішують позбутися одвічного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сорому, вигнавши непутящу дочку з дому.</w:t>
      </w:r>
    </w:p>
    <w:p w:rsidR="00907BFC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Катерина з дитиною вирушає в дальню дорогу, шукає Івана. Дорога важка, довга. Нарешті дівчина зустріла коханог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о, проте він не признав ні її, ні сина. Катерина просить не кидати її, взяти хоча б за наймичку. Та він презирливо відштовхує її.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EDA" w:rsidRDefault="00907B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Зневірена жінка, не бачачи ніякого виходу зі становища, втопилася. А маленький Івась став поводирем для сліпого.</w:t>
      </w:r>
    </w:p>
    <w:p w:rsidR="00131EDA" w:rsidRDefault="00131ED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131EDA" w:rsidRDefault="00131ED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131EDA" w:rsidRDefault="00131ED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EDA" w:rsidRDefault="00131EDA">
      <w:pPr>
        <w:rPr>
          <w:sz w:val="28"/>
          <w:szCs w:val="28"/>
        </w:rPr>
      </w:pPr>
    </w:p>
    <w:sectPr w:rsidR="00131E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871"/>
    <w:multiLevelType w:val="multilevel"/>
    <w:tmpl w:val="731C8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4646A11"/>
    <w:multiLevelType w:val="multilevel"/>
    <w:tmpl w:val="C7687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1EDA"/>
    <w:rsid w:val="00131EDA"/>
    <w:rsid w:val="002445A4"/>
    <w:rsid w:val="009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9"/>
  </w:style>
  <w:style w:type="paragraph" w:styleId="1">
    <w:name w:val="heading 1"/>
    <w:basedOn w:val="a"/>
    <w:next w:val="a"/>
    <w:rsid w:val="00E74D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74D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74D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74D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74D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74D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74D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D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unhideWhenUsed/>
    <w:rsid w:val="00196C1A"/>
    <w:pPr>
      <w:spacing w:line="240" w:lineRule="auto"/>
    </w:pPr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96C1A"/>
    <w:rPr>
      <w:rFonts w:ascii="Calibri" w:eastAsia="Calibri" w:hAnsi="Calibri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196C1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9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1A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E74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9"/>
  </w:style>
  <w:style w:type="paragraph" w:styleId="1">
    <w:name w:val="heading 1"/>
    <w:basedOn w:val="a"/>
    <w:next w:val="a"/>
    <w:rsid w:val="00E74D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74D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74D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74D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74D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74D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74D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D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annotation text"/>
    <w:basedOn w:val="a"/>
    <w:link w:val="a5"/>
    <w:uiPriority w:val="99"/>
    <w:unhideWhenUsed/>
    <w:rsid w:val="00196C1A"/>
    <w:pPr>
      <w:spacing w:line="240" w:lineRule="auto"/>
    </w:pPr>
    <w:rPr>
      <w:rFonts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96C1A"/>
    <w:rPr>
      <w:rFonts w:ascii="Calibri" w:eastAsia="Calibri" w:hAnsi="Calibri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196C1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19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1A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E74D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rstat.gov.ua/operativ/operativ2016/gdn/Szp_ed/Szp_ed_u/Szp_ed_2016_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8Uj+2MBaSBCInlcIp7RLv/Vj5A==">AMUW2mXP7cxJemXXC65F/QEmqNRejBIiIcLdr8AZQC+dKsLNMGgE8/Hs/aRfyQCDBdGydyAIo7WFwGFjJApsmgA/EIShPRUIrVT+AWnjXGv7NH+X045e4NDoDj2lk+nQNABG37WT7cSODl6HjdnfRK8d9DlpSBAv+JrYCD3S6UxQ3lfiBU7n1xHyC7llUaOU5+rbJDH4GqxScG/OkRB9MhlyYtoXsakpNg==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2020-05-15T18:53:00Z</dcterms:created>
  <dcterms:modified xsi:type="dcterms:W3CDTF">2020-05-15T18:58:00Z</dcterms:modified>
</cp:coreProperties>
</file>