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7D" w:rsidRDefault="009257C2" w:rsidP="009257C2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Користь чи шкода?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806"/>
      </w:tblGrid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П.І.Б. автора/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(співавторів)  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Default="00887C86" w:rsidP="00887C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Євгенія Геннадіївна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вправи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Default="00C82065" w:rsidP="008F53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5377">
              <w:rPr>
                <w:rFonts w:ascii="Times New Roman" w:eastAsia="Times New Roman" w:hAnsi="Times New Roman" w:cs="Times New Roman"/>
                <w:sz w:val="24"/>
                <w:szCs w:val="24"/>
              </w:rPr>
              <w:t>ористь чи шкода?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Стислий опис вправи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 що і для чого ця вправа? 1-2 речення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Default="00980190" w:rsidP="00D3794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використовується для</w:t>
            </w:r>
            <w:r w:rsidR="00003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вміння</w:t>
            </w:r>
            <w:r w:rsidR="00616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7C2" w:rsidRPr="009257C2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природні й синтетичні речовини; обґрунтовувати вплив продуктів синтетичної хімії на навколишнє середовище за їх неправильного використання; висловлювати судження щодо значення органічних речовин у суспільному господарстві, побуті, охороні здоров’я тощо</w:t>
            </w:r>
            <w:r w:rsidR="00D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 джерела</w:t>
            </w:r>
          </w:p>
        </w:tc>
        <w:tc>
          <w:tcPr>
            <w:tcW w:w="5806" w:type="dxa"/>
          </w:tcPr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806" w:type="dxa"/>
          </w:tcPr>
          <w:p w:rsidR="0044307D" w:rsidRDefault="00A201A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806" w:type="dxa"/>
          </w:tcPr>
          <w:p w:rsidR="0044307D" w:rsidRDefault="00A201A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уроку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Pr="00710B8A" w:rsidRDefault="008F53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Значення природних і синтетичних органічних сполук.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вправи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Default="008424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роль органічних сполук в житті людини та визначити їх вплив на довкілля</w:t>
            </w:r>
            <w:r w:rsidR="006162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1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B8A" w:rsidRPr="00710B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дати уявлення про природні, штучні та синтетичні речовини, їхні позитивні та негативні риси; ознайомити з основами органічного синтезу та деякими галузями застосування штучних та синтетичних речовин; продовжити формування знань про взаємозалежність будови, властивостей та застосування речовин; узагальнити причини різноманітності органічних речовин.</w:t>
            </w:r>
          </w:p>
          <w:p w:rsidR="00616259" w:rsidRDefault="0061625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Ключова складова громадянської компетентності</w:t>
            </w:r>
          </w:p>
        </w:tc>
        <w:tc>
          <w:tcPr>
            <w:tcW w:w="5806" w:type="dxa"/>
          </w:tcPr>
          <w:p w:rsidR="0044307D" w:rsidRDefault="00A24FBF" w:rsidP="00A24FB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та критичне розуміння світу (а</w:t>
            </w:r>
            <w:r w:rsidR="004D4CB9">
              <w:rPr>
                <w:rFonts w:ascii="Times New Roman" w:eastAsia="Times New Roman" w:hAnsi="Times New Roman" w:cs="Times New Roman"/>
                <w:sz w:val="24"/>
                <w:szCs w:val="24"/>
              </w:rPr>
              <w:t>налітичне та критичне мислення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Додаткова/і складова/і компетентності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1-3, не більше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307D" w:rsidRDefault="006E309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самостійно вчитися, вміння слухати та спостерігати, уміння співпрацювати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навчальні результати учнів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чого саме навчаться учні, виконавши цю вправу?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MyriadPro-Regular" w:hAnsi="MyriadPro-Regular" w:cs="MyriadPro-Regular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визначити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схожість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ізницю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між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новою та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вже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відомою</w:t>
            </w:r>
            <w:proofErr w:type="spellEnd"/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Інформацією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щоб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ідтвердити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свою думку;</w:t>
            </w:r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здатен</w:t>
            </w:r>
            <w:proofErr w:type="spellEnd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/-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оцінити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ризики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пов’язані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вибором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різних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варіантів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демонстру</w:t>
            </w:r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роздумує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наскільки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правильною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яку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</w:t>
            </w:r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ідентифікувати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будь-як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розбіжності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відмінності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відхилення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матеріалах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ідлягають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аналізу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4FBF" w:rsidRPr="00A24FBF" w:rsidRDefault="00A24FBF" w:rsidP="00A24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здатен</w:t>
            </w:r>
            <w:proofErr w:type="spellEnd"/>
            <w:proofErr w:type="gram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/-</w:t>
            </w:r>
            <w:proofErr w:type="gram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критерії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принципи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</w:p>
          <w:p w:rsidR="00A74004" w:rsidRPr="00A24FBF" w:rsidRDefault="00A24FBF" w:rsidP="00A24FBF">
            <w:pPr>
              <w:autoSpaceDE w:val="0"/>
              <w:autoSpaceDN w:val="0"/>
              <w:adjustRightInd w:val="0"/>
              <w:spacing w:after="160" w:line="259" w:lineRule="auto"/>
              <w:rPr>
                <w:rFonts w:ascii="MyriadPro-Regular" w:hAnsi="MyriadPro-Regular" w:cs="MyriadPro-Regular"/>
                <w:color w:val="000000"/>
                <w:sz w:val="18"/>
                <w:szCs w:val="18"/>
                <w:lang w:val="ru-RU"/>
              </w:rPr>
            </w:pP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цінності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суджень</w:t>
            </w:r>
            <w:proofErr w:type="spellEnd"/>
            <w:r w:rsidRPr="00A24F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результати з програми навчання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8F5377" w:rsidRPr="00A24FBF" w:rsidRDefault="008F5377" w:rsidP="0006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BF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висловлює судження</w:t>
            </w:r>
            <w:r w:rsidRPr="00A24FBF">
              <w:rPr>
                <w:rFonts w:ascii="Times New Roman" w:hAnsi="Times New Roman" w:cs="Times New Roman"/>
                <w:sz w:val="24"/>
                <w:szCs w:val="24"/>
              </w:rPr>
              <w:t xml:space="preserve"> щодо значення органічних речовин у суспільному господарстві, побуті, харчуванні, охороні здоров’я тощо; </w:t>
            </w:r>
          </w:p>
          <w:p w:rsidR="00066CC5" w:rsidRPr="00A24FBF" w:rsidRDefault="006E309D" w:rsidP="00066CC5">
            <w:pPr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A24FBF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усвідомлює</w:t>
            </w:r>
            <w:r w:rsidRPr="00A24FB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A24FBF">
              <w:rPr>
                <w:rFonts w:ascii="Times New Roman" w:hAnsi="Times New Roman"/>
                <w:sz w:val="24"/>
                <w:szCs w:val="24"/>
              </w:rPr>
              <w:t>моральну та соціальну</w:t>
            </w:r>
            <w:r w:rsidR="00066CC5" w:rsidRPr="00A24FBF">
              <w:rPr>
                <w:rFonts w:ascii="Times New Roman" w:hAnsi="Times New Roman"/>
                <w:sz w:val="24"/>
                <w:szCs w:val="24"/>
              </w:rPr>
              <w:t xml:space="preserve"> відповідальність за </w:t>
            </w:r>
            <w:r w:rsidR="00066CC5" w:rsidRPr="00A2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збереження довкілля для майбутніх поколінь;</w:t>
            </w:r>
          </w:p>
          <w:p w:rsidR="006E309D" w:rsidRDefault="006E309D" w:rsidP="006E30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Тривалість вправи (у хвилинах)</w:t>
            </w:r>
          </w:p>
        </w:tc>
        <w:tc>
          <w:tcPr>
            <w:tcW w:w="5806" w:type="dxa"/>
          </w:tcPr>
          <w:p w:rsidR="0044307D" w:rsidRDefault="00D5060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хвилин</w:t>
            </w:r>
          </w:p>
        </w:tc>
      </w:tr>
      <w:tr w:rsidR="0044307D" w:rsidRPr="00710B8A">
        <w:tc>
          <w:tcPr>
            <w:tcW w:w="3823" w:type="dxa"/>
          </w:tcPr>
          <w:p w:rsidR="0044307D" w:rsidRPr="00710B8A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Інструкція для проведення вправи</w:t>
            </w:r>
          </w:p>
        </w:tc>
        <w:tc>
          <w:tcPr>
            <w:tcW w:w="5806" w:type="dxa"/>
          </w:tcPr>
          <w:p w:rsidR="0044307D" w:rsidRPr="00710B8A" w:rsidRDefault="008D051B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Утворити групи шляхом жеребкування</w:t>
            </w:r>
            <w:r w:rsidR="00CB44A3" w:rsidRPr="00710B8A">
              <w:rPr>
                <w:rFonts w:ascii="Times New Roman" w:hAnsi="Times New Roman" w:cs="Times New Roman"/>
                <w:sz w:val="24"/>
                <w:szCs w:val="24"/>
              </w:rPr>
              <w:t xml:space="preserve"> (2 хв.)</w:t>
            </w: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. Учні отримують картки з матеріалами для самостійного вивчення</w:t>
            </w:r>
            <w:r w:rsidR="00CB44A3" w:rsidRPr="0071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(кожна група отримує свій набір матеріалів).</w:t>
            </w:r>
          </w:p>
          <w:p w:rsidR="008D051B" w:rsidRPr="00710B8A" w:rsidRDefault="008D051B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Рекомендована кількість груп 3.</w:t>
            </w:r>
          </w:p>
          <w:p w:rsidR="00D55D6D" w:rsidRPr="00710B8A" w:rsidRDefault="00CB44A3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Робота в групах 7-10 хвилин.</w:t>
            </w:r>
          </w:p>
          <w:p w:rsidR="006479CA" w:rsidRPr="00710B8A" w:rsidRDefault="006479CA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6D" w:rsidRPr="00710B8A" w:rsidRDefault="00D55D6D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Завдання учням: ознайомитись з текстом, заповнити кола Вена назвами речовин</w:t>
            </w:r>
            <w:r w:rsidR="001D63CC" w:rsidRPr="00710B8A">
              <w:rPr>
                <w:rFonts w:ascii="Times New Roman" w:hAnsi="Times New Roman" w:cs="Times New Roman"/>
                <w:sz w:val="24"/>
                <w:szCs w:val="24"/>
              </w:rPr>
              <w:t>, підготуватись для презентації роботи групи</w:t>
            </w:r>
            <w:r w:rsidR="00CB44A3" w:rsidRPr="0071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3CC" w:rsidRPr="00710B8A">
              <w:rPr>
                <w:rFonts w:ascii="Times New Roman" w:hAnsi="Times New Roman" w:cs="Times New Roman"/>
                <w:sz w:val="24"/>
                <w:szCs w:val="24"/>
              </w:rPr>
              <w:t>(регламент</w:t>
            </w:r>
            <w:r w:rsidR="00C43F3E" w:rsidRPr="00710B8A">
              <w:rPr>
                <w:rFonts w:ascii="Times New Roman" w:hAnsi="Times New Roman" w:cs="Times New Roman"/>
                <w:sz w:val="24"/>
                <w:szCs w:val="24"/>
              </w:rPr>
              <w:t xml:space="preserve"> виступу</w:t>
            </w:r>
            <w:r w:rsidR="001D63CC" w:rsidRPr="00710B8A">
              <w:rPr>
                <w:rFonts w:ascii="Times New Roman" w:hAnsi="Times New Roman" w:cs="Times New Roman"/>
                <w:sz w:val="24"/>
                <w:szCs w:val="24"/>
              </w:rPr>
              <w:t xml:space="preserve"> 2хв.)</w:t>
            </w:r>
          </w:p>
          <w:p w:rsidR="001D63CC" w:rsidRPr="00710B8A" w:rsidRDefault="001D63CC" w:rsidP="004343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1D63CC" w:rsidRPr="00710B8A" w:rsidRDefault="001D63CC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3490685" cy="2618015"/>
                  <wp:effectExtent l="19050" t="0" r="0" b="0"/>
                  <wp:docPr id="2" name="Рисунок 2" descr="C:\Users\User\Downloads\Venn diagram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Venn diagram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363" cy="2619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51B" w:rsidRPr="00710B8A" w:rsidRDefault="008D051B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CA" w:rsidRPr="00710B8A" w:rsidRDefault="006479CA" w:rsidP="0064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Представлення результатів роботи груп: 10 хвилин.</w:t>
            </w:r>
          </w:p>
          <w:p w:rsidR="006479CA" w:rsidRPr="00710B8A" w:rsidRDefault="006479CA" w:rsidP="0064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Обговорення (</w:t>
            </w:r>
            <w:proofErr w:type="spellStart"/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дебрифінг</w:t>
            </w:r>
            <w:proofErr w:type="spellEnd"/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): 10-15 хвилин.</w:t>
            </w:r>
          </w:p>
          <w:p w:rsidR="006479CA" w:rsidRPr="00710B8A" w:rsidRDefault="006479CA" w:rsidP="0064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Запитання для обговорення: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Що з цієї теми слід пам’ятати?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Що з цієї теми є для тебе важливим?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Як, на твою думку, найкраще навчити когось цієї теми?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Як ти використаєш цю тему у житті?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Що у цій темі було для тебе відкриттям?</w:t>
            </w:r>
          </w:p>
          <w:p w:rsidR="006479CA" w:rsidRPr="00710B8A" w:rsidRDefault="006479CA" w:rsidP="006479C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B8A">
              <w:rPr>
                <w:rFonts w:ascii="Times New Roman" w:hAnsi="Times New Roman" w:cs="Times New Roman"/>
                <w:sz w:val="24"/>
                <w:szCs w:val="24"/>
              </w:rPr>
              <w:t>Що ще ти хочеш дізнатися з цієї теми?</w:t>
            </w:r>
          </w:p>
          <w:p w:rsidR="0044307D" w:rsidRPr="00710B8A" w:rsidRDefault="0044307D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7D" w:rsidRPr="00710B8A" w:rsidRDefault="0044307D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7D" w:rsidRPr="00710B8A" w:rsidRDefault="0044307D" w:rsidP="0043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Необхідне обладнання / матеріали, облаштування класу, тощо</w:t>
            </w:r>
          </w:p>
        </w:tc>
        <w:tc>
          <w:tcPr>
            <w:tcW w:w="5806" w:type="dxa"/>
          </w:tcPr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 з хімії 9 клас</w:t>
            </w:r>
            <w:r w:rsidR="00C43F3E">
              <w:rPr>
                <w:rFonts w:ascii="Times New Roman" w:eastAsia="Times New Roman" w:hAnsi="Times New Roman" w:cs="Times New Roman"/>
                <w:sz w:val="24"/>
                <w:szCs w:val="24"/>
              </w:rPr>
              <w:t>, довідкові матеріали</w:t>
            </w:r>
            <w:r w:rsidR="00CB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колекції «Нафта і продукти її переробки», </w:t>
            </w:r>
          </w:p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 різного кольору для жеребкування.</w:t>
            </w:r>
          </w:p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матеріали:</w:t>
            </w:r>
          </w:p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з описом впливу на довкілля та застосуванням речовин певної групи: вуглеводні,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оксиговмісні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сполуки,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нітрогеновмісні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сполуки;</w:t>
            </w:r>
          </w:p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кола Вена для заповнення;</w:t>
            </w:r>
          </w:p>
          <w:p w:rsidR="001D63CC" w:rsidRDefault="001D63CC" w:rsidP="001D63C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маркери, фломастери, папір А3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07D">
        <w:tc>
          <w:tcPr>
            <w:tcW w:w="3823" w:type="dxa"/>
          </w:tcPr>
          <w:p w:rsidR="0044307D" w:rsidRDefault="0098019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Підсумок за результатами проведення вправи</w:t>
            </w:r>
          </w:p>
        </w:tc>
        <w:tc>
          <w:tcPr>
            <w:tcW w:w="5806" w:type="dxa"/>
          </w:tcPr>
          <w:p w:rsidR="00C43F3E" w:rsidRDefault="00C43F3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усвідомлять важливі критерії вдалих правил/законів; зрозуміють, що брати на себе відповідальність означає вирішувати дилеми: збирати інформацію, аналізувати наслідки, визначати пріоритети, ухвалювати рішення. </w:t>
            </w:r>
          </w:p>
          <w:p w:rsidR="0044307D" w:rsidRDefault="00C43F3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результаті вправи можна буде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 висновок</w:t>
            </w:r>
            <w:r w:rsidRPr="00C4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органічних сполук на довкілля неоднозначний і залежить від відповідальних дій та рішень людини.</w:t>
            </w:r>
          </w:p>
          <w:p w:rsidR="0044307D" w:rsidRDefault="0044307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07D" w:rsidRDefault="0044307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4307D" w:rsidRDefault="009801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Роздаткові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матеріали (за потреби) – на окремому аркуші</w:t>
      </w:r>
    </w:p>
    <w:tbl>
      <w:tblPr>
        <w:tblStyle w:val="a8"/>
        <w:tblW w:w="0" w:type="auto"/>
        <w:tblLook w:val="04A0"/>
      </w:tblPr>
      <w:tblGrid>
        <w:gridCol w:w="9855"/>
      </w:tblGrid>
      <w:tr w:rsidR="00CB44A3" w:rsidTr="00CB44A3">
        <w:tc>
          <w:tcPr>
            <w:tcW w:w="9855" w:type="dxa"/>
          </w:tcPr>
          <w:p w:rsidR="00CB44A3" w:rsidRPr="00CB44A3" w:rsidRDefault="00CB44A3" w:rsidP="00CB44A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Матеріали для групи «Вуглеводні»</w:t>
            </w:r>
          </w:p>
        </w:tc>
      </w:tr>
      <w:tr w:rsidR="00CB44A3" w:rsidTr="00CB44A3">
        <w:tc>
          <w:tcPr>
            <w:tcW w:w="9855" w:type="dxa"/>
          </w:tcPr>
          <w:p w:rsidR="00CB44A3" w:rsidRDefault="00CB44A3" w:rsidP="00CB44A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Забруднення довкілля в процесі переробки вуглеводнів</w:t>
            </w:r>
          </w:p>
          <w:p w:rsidR="00CB44A3" w:rsidRPr="00CB44A3" w:rsidRDefault="00CB44A3" w:rsidP="00CB44A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hyperlink r:id="rId6" w:history="1">
              <w:r>
                <w:rPr>
                  <w:rStyle w:val="a9"/>
                </w:rPr>
                <w:t>https://uk.wikipedia.org/wiki/%D0%97%D0%B0%D0%B1%D1%80%D1%83%D0%B4%D0%BD%D0%B5%D0%BD%D0%BD%D1%8F_%D0%B4%D0%BE%D0%B2%D0%BA%D1%96%D0%BB%D0%BB%D1%8F_%D0%B2_%D0%BF%D1%80%D0%BE%D1%86%D0%B5%D1%81%D1%96_%D0%BF%D0%B5%D1%80%D0%B5%D1%80%D0%BE%D0%B1%D0%BA%D0%B8_%D0%B2%D1%83%D0%B3%D0%BB%D0%B5%D0%B2%D0%BE%D0%B4%D0%BD%D1%96%D0%B2</w:t>
              </w:r>
            </w:hyperlink>
            <w:r>
              <w:t>)</w:t>
            </w:r>
          </w:p>
          <w:p w:rsidR="00CB44A3" w:rsidRPr="00B97A4F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4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Отримані з нафти продукти можна розділити на наступні групи: 1) паливо; 2) нафтові олії; 3) парафін, церезин, вазелін; 4) нафтовий бітум; 5) освітлювальний гас; 6) розчинники; 7) інші нафтопродукти (кокс, консистентні мастила, нафтові кислоти та ін.).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Паливо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зазвичай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поділяють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автомобільні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бензини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тракторне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реактивне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дизельне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газотурбінне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котельне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паливо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масла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моторні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індустріальні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циліндрові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турбінні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компресорні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змащування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устаткування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Парафін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собою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продукт, служить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сировиною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синтетичних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жирних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кислот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спиртів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вазелін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техніці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бітуми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застосовують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ізоляційних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покрівельних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дорожньому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будівництві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вилучення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подальша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переробка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супроводжуються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виділенням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якихось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чином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забруднюють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навколишнє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середовище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джерелом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нафтопереробні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заводи. Практично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кожній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країн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атмосферу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неприйнятну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екологічними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стандартами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забруднюючих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Найбільший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процесі</w:t>
            </w:r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каталітичного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крекінгу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складу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входить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близько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потрібно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відзначити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метали (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свинець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оксид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сірки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(SO2), оксид азоту (NO2),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вуглекислоту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чадний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діоксини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хлор, бензол,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плавикову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кислоту (НF).</w:t>
            </w:r>
            <w:proofErr w:type="gramEnd"/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атмосферу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оксидів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азоту,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сірки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сполук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алканового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ряду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парникового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ефекту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свою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чергу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кліматичних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Потрапляючи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атмосферу,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гази як SO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NO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СO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водою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утворюють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земну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поверхню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дощів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згубно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впливаючи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озоном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руйнування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озонових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дір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цього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піддаються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жорсткого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короткохвильового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ультрафіолетового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випромінювання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найсильнішим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мутантом.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ільшість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викидаються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нафтопереробними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заводами в атмосферу,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шкідливими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будь-якого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живого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організму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Так у людей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тварин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вони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викликати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патології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дихальної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(астма,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бронхіт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асфіксія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Газоподібні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ібних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осідаючи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слизових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оболонках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дихальних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перешкоджають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нормальним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процесам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респірації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ітового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океану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відбувається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наступним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чином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таких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Стічні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нафтопереробних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відводяться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двома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системами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каналізації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Води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першої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повторно. Води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потрапляють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водойми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Незважаючи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очистку,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ічні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забруднюючих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бензоли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феноли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алкани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алкени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несприятливо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гідробіоту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першу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чергу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забруднюючі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знижують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концентрацію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кисню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загибелі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багатьох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мешканців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удушення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ічних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канцерогенний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мутагенний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тератогенний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ефект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загибелі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гідробіонтів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Відмерша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органічна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служить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відмінним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субстратом для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бактерій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гниття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лічених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місяців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перетворити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водойми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мертві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відстійники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Екологічні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зачіпають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оболонку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джерелом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літосфери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відходи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нафтопереробних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заводів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адсорбенти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золу,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ізноманітні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осади, пил, смолу,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утворюються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переробці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очищенні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стічних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З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огляду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поширення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отруйних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ґрунтових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збиток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літосфери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продуктами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нафтопереробки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колосальний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Негативний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особливо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гостро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позначається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рослинних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організмах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живих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істот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чия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життєдіяльність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пов'язана</w:t>
            </w:r>
            <w:proofErr w:type="spellEnd"/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ґрунтом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Pr="00CB44A3" w:rsidRDefault="00CB44A3" w:rsidP="00CB44A3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Таким чином, проблема </w:t>
            </w:r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негативного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процесів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екологію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стає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кожним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днем все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актуальною.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багатогранний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забрудненню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іддаються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оболонки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атмосфера,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гідросфера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літосфера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біосфера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Вирішення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Людство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вже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досягло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того </w:t>
            </w:r>
            <w:proofErr w:type="spellStart"/>
            <w:proofErr w:type="gram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івня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науково-технічного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прогресу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дозволить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переробку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нафти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безпечною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навколишнього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CB4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4A3" w:rsidRDefault="00CB44A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4A3" w:rsidTr="00CB44A3">
        <w:tc>
          <w:tcPr>
            <w:tcW w:w="9855" w:type="dxa"/>
          </w:tcPr>
          <w:p w:rsidR="00CB44A3" w:rsidRDefault="00CB44A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4A3" w:rsidTr="00CB44A3">
        <w:tc>
          <w:tcPr>
            <w:tcW w:w="9855" w:type="dxa"/>
          </w:tcPr>
          <w:p w:rsidR="00CB44A3" w:rsidRDefault="006479CA" w:rsidP="006479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Матеріали для групи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Оксигеновмісні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сполуки»</w:t>
            </w:r>
          </w:p>
        </w:tc>
      </w:tr>
      <w:tr w:rsidR="006479CA" w:rsidTr="00CB44A3">
        <w:tc>
          <w:tcPr>
            <w:tcW w:w="9855" w:type="dxa"/>
          </w:tcPr>
          <w:p w:rsidR="006479CA" w:rsidRDefault="006479CA" w:rsidP="006479C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Економічне значення та напрями використання спиртів</w:t>
            </w:r>
          </w:p>
          <w:p w:rsidR="006479CA" w:rsidRPr="006479CA" w:rsidRDefault="006479CA" w:rsidP="006479C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hyperlink r:id="rId7" w:history="1">
              <w:r>
                <w:rPr>
                  <w:rStyle w:val="a9"/>
                </w:rPr>
                <w:t>https://uk.wikipedia.org/wiki/%D0%A1%D0%BF%D0%B8%D1%80%D1%82%D0%B8</w:t>
              </w:r>
            </w:hyperlink>
            <w:r>
              <w:t>)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 використання спиртів численні та різноманітні, особливо враховуючи широкий спектр сполук, що відносяться до цього класу. Разом з тим, з промислової точки зору, тільки невелика низка спиртів вносить помітний внесок у глобальну світову економіку.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TOP 50 за 2002 рік сполук, що випускаються хімічною промисловістю США, зі спиртів входять тільки метанол (14-е місце) та етиленгліколь (29-е місце).[9] У наступні 50 найважливіших хімічних сполук, за даними 1999 року, включені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ізопропіловий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н-бутиловий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спирт, синтетичний етанол,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пропіленгліколь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діетиленгліколь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2-етилгексанол, 1,4-бутандіол,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сорбітол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гліцерин.[9]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світі найбільше значення з спиртів мають метиловий, етиловий,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пропіловий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ізопропіловий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спирт, а також бутилові,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амілові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вищі жирні спирти. З циклічних і ароматичних спиртів: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циклогексанол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2-етилгексанол, фенілетиловий і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бензиловий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спирти; з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гликолей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поліолів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етиленгліколь,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пропіленгліколь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діетиленгліколь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гліцерин,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пентаеритрит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 великотоннажними напрямками використання спиртів є (в довільному порядку):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проміжні продукти для основного органічного синтезу;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як палива;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виробництво розчинників;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виробництво синтетичних миючих засобів, парфумерії та косметики;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харчовій і фармацевтичній промисловості.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спиртів як палива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паливних цілей в даний момент використовуються в промислових об'ємах три спирти: метанол, етанол і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бутанол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пов'язано, насамперед, з їх комерційною доступністю та можливістю масового виробництва з рослинної сировини (крім метанолу). При цьому можливе використання спиртів у вигляді пального в чистому вигляді, а також у вигляді різних сумішей з бензином або дизельним паливом[10], а також як добавок (до 10%) з метою підвищення октанового числа і зниження токсичності відпрацьованих газів.[11][12] Також окремим напрямом є використання метанолу для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переетерифікації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жирів у виробництві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біодизеля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.[13]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Найпоширенішим паливним спиртом є етанол. За оцінками експертів, на 2009 рік 80-90% всього виробленого у світі етилового спирту було використано саме в цих цілях і склало 73,9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літрів (≈ 58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тонн).[14]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причини, які дали поштовх активному вивченню спиртів як альтернативного палива, це[15]: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зростання цін на нафту і природний газ, а також вичерпність цих ресурсів в найближчому майбутньому;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спирти володіють високими експлуатаційними характеристиками, а продукти згоряння містять менше шкідливих речовин;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спирти можуть виготовлятися біохімічним методом з відходів харчової, деревообробної та целюлозно-паперової промисловості, тим самим вирішуючи одночасно проблему утилізації.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з тим, масове використання вищевказаних спиртів як моторного палива, крім суто економічних причин, має низку недоліків: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метанол і етанол мають порівняно з бензином меншу </w:t>
            </w:r>
            <w:proofErr w:type="spellStart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енергоефективність</w:t>
            </w:r>
            <w:proofErr w:type="spellEnd"/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і, відповідно, забезпечують більші витрати;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низькі температури кипіння спиртів можуть бути причиною утворення парових пробок, що може істотно ускладнити роботу двигуна;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гігроскопічність спиртів, а також їх розчинність у воді може призвести до різкого зниження потужності при потраплянні вологи в паливну систему;</w:t>
            </w:r>
          </w:p>
          <w:p w:rsidR="006479CA" w:rsidRP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спирти мають істотно більш високі корозійні характеристики порівняно з вуглеводнями;</w:t>
            </w:r>
          </w:p>
          <w:p w:rsidR="006479CA" w:rsidRDefault="006479CA" w:rsidP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CA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відносно висока прихована теплота згоряння метанолу та етанолу може бути причиною проблеми при змішуванні цих спиртів з повітрям і подальшого транспортування через впускний колектор двигуна.</w:t>
            </w:r>
          </w:p>
        </w:tc>
      </w:tr>
      <w:tr w:rsidR="006479CA" w:rsidTr="00CB44A3">
        <w:tc>
          <w:tcPr>
            <w:tcW w:w="9855" w:type="dxa"/>
          </w:tcPr>
          <w:p w:rsidR="006479CA" w:rsidRDefault="006479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9CA" w:rsidTr="00CB44A3">
        <w:tc>
          <w:tcPr>
            <w:tcW w:w="9855" w:type="dxa"/>
          </w:tcPr>
          <w:p w:rsidR="006479CA" w:rsidRDefault="006479CA" w:rsidP="006479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Матеріали для групи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Нітрогеновмісні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сполуки»</w:t>
            </w:r>
          </w:p>
        </w:tc>
      </w:tr>
      <w:tr w:rsidR="006479CA" w:rsidTr="00CB44A3">
        <w:tc>
          <w:tcPr>
            <w:tcW w:w="9855" w:type="dxa"/>
          </w:tcPr>
          <w:p w:rsidR="0068416D" w:rsidRDefault="0068416D" w:rsidP="006841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Білок у харчуванні</w:t>
            </w:r>
          </w:p>
          <w:p w:rsidR="0068416D" w:rsidRPr="0068416D" w:rsidRDefault="0068416D" w:rsidP="006841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hyperlink r:id="rId8" w:history="1">
              <w:r>
                <w:rPr>
                  <w:rStyle w:val="a9"/>
                </w:rPr>
                <w:t>https://uk.wikipedia.org/wiki/%D0%91%D1%96%D0%BB%D0%BA%D0%B8</w:t>
              </w:r>
            </w:hyperlink>
            <w:r>
              <w:t>)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— джерело різноманітних денатурованих рослинних і тваринних білків.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Білки надходять в організм разом з їжею й служать основним джерелом амінокислот. Обов'язкове використання білків у їжі обумовлене потребою в незамінних амінокислотах, які не можуть синтезуватися людиною з інших речовин. Травлення починається з кислотної денатурації білків у шлунку — необхідної стадії для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кулінарно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неопрацьованої їжі. Денатуровані білки стають субстратом для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протеаз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спочатку в шлунку, а потім у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слаболужному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середовищі тонкого кишечнику. Продукти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протеазного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розщеплення — короткі пептиди й амінокислоти усмоктуються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ентероцитами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розташованими в епітелії тонкого кишечнику. 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ентероцитах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пептидів розщеплюється до окремих амінокислот. Потім амінокислоти й пептиди переправляються транспортерами через протилежну мембрану й розносяться по всьому тілу з потоком крові. Амінокислотне харчування інших кліток організму відбувається за допомогою мембранних транспортерів амінокислот, а також заковтування й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протеазного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розщеплення зовнішніх білків і пептидів. Для запобігання надлишкових втрат амінокислот з організму в нирках відбувається усмоктування пептидів і амінокислот із крові в цілому схоже на усмоктування цих речовин у тонкому кишечнику.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Суміш для нарощування м'язів (США) містить білки молочної сироватки.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Регуляція транспорту й метаболізму амінокислот — складний, ще не досить вивчений процес. У ньому беруть участь різні системи організму, у тому числі нервова система, що відповідає за формування відчуття голоду й ситості в головному мозку. Інтерес до механізму білкового травлення проявляють не тільки фізіологи й дієтологи. У медичній практиці виникають питання, пов'язані з персональною алергією до деяких білків. У складніших випадках розробляються спеціальні білкові дієти. У деяких випадках використовують суміші чистих амінокислот. Пептидні транспортери травної системи й нирок активно вивчаються фармакологами, оскільки ряд ліків всмоктується й утримується в організмі за рахунок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Pept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білків. Білкові й амінокислотні суміші викликають інтерес у спортсменів з метою нарощування м'язів. Слід зазначити, що засвоювання чистих амінокислот організмом сильно відрізняється від звичайного переварювання різноманітних білків їжі.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16D" w:rsidRPr="0068416D" w:rsidRDefault="0068416D" w:rsidP="0068416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Білкові лікувальні препарати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Значна кількість досліджень у медицині направлена на використання білків як терапевтичних препаратів та засобів діагностики захворювань. Фармацевтичне застосування білків почалося з природних білків отриманих з різноманітних живих організмів. Нові препарати створюються штучно,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рекомбінантними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або за допомогою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білків. Фармацевтичні препарати, що знаходять широке використання, включають білки крові (наприклад, для лікування гемофілії),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тромболітичні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ферменти, гормони,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цитокіни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фактори росту, білки імунної системи (інтерферони і антитіла, що використовуються для лікування інфекційних захворювань та деяких видів раку) і вакцини.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Прагнення до перемоги будь-якою ціною штовхає деяких спортсменів, культуристів та спецназівців до вживання білкових ліків, що сприяють витривалості та росту м'язів. Найпопулярнішими є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еритропоетин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гормон росту людини. Вживання цих препаратів заборонено в багатьох змаганнях, але скандали з відомими спортсменами з'являються щороку. Фармацевтичні білки, як і інші ліки, можуть являти загрозу здоров'ю.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промисловості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 всіх білків в харчовій промисловості активно використовуються численні ферменти. Так, у пекарській промисловості використовуються альфа-амілаза і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 пивоварінні використовуються численні ферменти ячменю (амілаза,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глюканази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целюлази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пектинази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використовуються для освітлення соків; хімозин, ліпаза і лактаза використовуються для виготовлення кисломолочних продуктів; а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папаїн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застосовується для пом'якшення м'ясних продуктів. Для виготовлення крохмалю використовують амілазу і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глюкоамілазу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для виготовлення паперу —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целюлази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ксиланазу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Також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протео-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ліполітичні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ферменти часто додаються до миючих засобів.</w:t>
            </w:r>
          </w:p>
          <w:p w:rsidR="0068416D" w:rsidRPr="0068416D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9CA" w:rsidRDefault="0068416D" w:rsidP="0068416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Іншим використанням білків є використання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фібрилярних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білків для виготовлення волокон, що використовуються, зокрема, в текстильній промисловості[77]. Інші застосування включають використання білків у ряді технологічних процесів в хімічній промисловості, створення </w:t>
            </w:r>
            <w:proofErr w:type="spellStart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>біосенсорів</w:t>
            </w:r>
            <w:proofErr w:type="spellEnd"/>
            <w:r w:rsidRPr="0068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інші.</w:t>
            </w:r>
          </w:p>
        </w:tc>
      </w:tr>
    </w:tbl>
    <w:p w:rsidR="00C43F3E" w:rsidRDefault="00C43F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43F3E" w:rsidRDefault="00C43F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43F3E" w:rsidRDefault="00C43F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C43F3E" w:rsidSect="0044307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2BC"/>
    <w:multiLevelType w:val="hybridMultilevel"/>
    <w:tmpl w:val="C9AC5952"/>
    <w:lvl w:ilvl="0" w:tplc="FE2445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4307D"/>
    <w:rsid w:val="00003C8B"/>
    <w:rsid w:val="00066CC5"/>
    <w:rsid w:val="001D63CC"/>
    <w:rsid w:val="00397EB8"/>
    <w:rsid w:val="00434380"/>
    <w:rsid w:val="0044307D"/>
    <w:rsid w:val="004D4CB9"/>
    <w:rsid w:val="00616259"/>
    <w:rsid w:val="006479CA"/>
    <w:rsid w:val="0068416D"/>
    <w:rsid w:val="006E309D"/>
    <w:rsid w:val="00710B8A"/>
    <w:rsid w:val="00842477"/>
    <w:rsid w:val="00887C86"/>
    <w:rsid w:val="008D051B"/>
    <w:rsid w:val="008F5377"/>
    <w:rsid w:val="009257C2"/>
    <w:rsid w:val="00980190"/>
    <w:rsid w:val="009C6D4D"/>
    <w:rsid w:val="00A201A4"/>
    <w:rsid w:val="00A24FBF"/>
    <w:rsid w:val="00A74004"/>
    <w:rsid w:val="00B97A4F"/>
    <w:rsid w:val="00C43F3E"/>
    <w:rsid w:val="00C82065"/>
    <w:rsid w:val="00CB44A3"/>
    <w:rsid w:val="00D14256"/>
    <w:rsid w:val="00D37948"/>
    <w:rsid w:val="00D5060D"/>
    <w:rsid w:val="00D55D6D"/>
    <w:rsid w:val="00D81814"/>
    <w:rsid w:val="00DD42F7"/>
    <w:rsid w:val="00F4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B8"/>
  </w:style>
  <w:style w:type="paragraph" w:styleId="1">
    <w:name w:val="heading 1"/>
    <w:basedOn w:val="normal"/>
    <w:next w:val="normal"/>
    <w:rsid w:val="0044307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4430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430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430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430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430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307D"/>
  </w:style>
  <w:style w:type="table" w:customStyle="1" w:styleId="TableNormal">
    <w:name w:val="Table Normal"/>
    <w:rsid w:val="00443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430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430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430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3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B44A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494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  <w:div w:id="9571752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474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  <w:div w:id="1247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96%D0%BB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F%D0%B8%D1%80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0%D0%B1%D1%80%D1%83%D0%B4%D0%BD%D0%B5%D0%BD%D0%BD%D1%8F_%D0%B4%D0%BE%D0%B2%D0%BA%D1%96%D0%BB%D0%BB%D1%8F_%D0%B2_%D0%BF%D1%80%D0%BE%D1%86%D0%B5%D1%81%D1%96_%D0%BF%D0%B5%D1%80%D0%B5%D1%80%D0%BE%D0%B1%D0%BA%D0%B8_%D0%B2%D1%83%D0%B3%D0%BB%D0%B5%D0%B2%D0%BE%D0%B4%D0%BD%D1%96%D0%B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dcterms:created xsi:type="dcterms:W3CDTF">2020-06-12T13:50:00Z</dcterms:created>
  <dcterms:modified xsi:type="dcterms:W3CDTF">2020-06-12T13:50:00Z</dcterms:modified>
</cp:coreProperties>
</file>