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Роздаткові матеріали </w:t>
      </w:r>
    </w:p>
    <w:p>
      <w:pPr>
        <w:pStyle w:val="14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(Посилаючись на найбільш достовірні джерела інформації доведіть або спростуйте твердження)</w:t>
      </w:r>
    </w:p>
    <w:p>
      <w:pPr>
        <w:pStyle w:val="14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ХХІ століття - «золоте століття» генетики та біотехнології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Використання традиційної селекції відрізняється від технології ГМО.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Земля зможе нагодувати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людство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самостійно.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Б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>іотехнологія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  <w:lang w:val="uk-UA"/>
        </w:rPr>
        <w:t xml:space="preserve"> відіграє значну роль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 xml:space="preserve"> в сільському господарстві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  <w:lang w:val="uk-UA"/>
        </w:rPr>
        <w:t>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uk-UA"/>
        </w:rPr>
        <w:t>Генетична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uk-UA"/>
        </w:rPr>
        <w:t>модифікація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uk-UA"/>
        </w:rPr>
        <w:t>організмів – панацея для людства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Генетична модифікація організмів –  це скринька Пандори</w:t>
      </w:r>
    </w:p>
    <w:p>
      <w:pPr>
        <w:pStyle w:val="NormalWeb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Трансгенні рослини мають переваги в сільському господарстві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З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вільнення ГМО в середовище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існування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 б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езпечне для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людини і навколишнього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середовища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О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позиція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щодо створення генетично модифікованих організмів (ГМО)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 безпідставна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Використовувати сьогодні трансгенні продукти в їжу безпечно</w:t>
      </w:r>
    </w:p>
    <w:p>
      <w:pPr>
        <w:pStyle w:val="14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Існує загроза біологічному різноманіттю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через звільнення ГМО в середовище існування.</w:t>
      </w:r>
    </w:p>
    <w:p>
      <w:pPr>
        <w:pStyle w:val="14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>Генна інженерія — більш передбачуваний процес, ніж традиційна селекція.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Існує небезпека від модифікованої ДНК, яку ми «споживаємо» з їжею.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Ми вживаємо продукти, знаючи, що вони містять трансгенні організми.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Існує маркування на продуктах харчування, які свідчать про використання ГМО.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Важливо, щоб інформація про вміст ГМО у продуктах харчування була доступною для споживача.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Закони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щодо використання ГМО захищають права тільки виробників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Виробники маркують «Без ГМО» напої і продукти, в яких використання ГМО не є можливим.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>Споживачі мають право знати, в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яких харчових продуктах найбільше міститься ГМО.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Не всі добавки Е містять ГМО або є трансгенними.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Закони держави захищають права споживача. «Greenpeace» оприлюднив список компаній, які експортують однакові найменування продукції з ГМО і без ГМО за кордон залежно від законодавства конкретної країни.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 xml:space="preserve">Основні принципи державної політики в галузі поводження з ГМО покладені в основу Закону України «Про державну систему біобезпеки при створенні, випробуванні, транспортуванні та використанні генетично модифікованих організмів»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/>
      </w:pPr>
      <w:r>
        <w:rPr>
          <w:rStyle w:val="Appleconvertedspace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Існують встановлені законом обмеження щодо застосування ГМО.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Autospacing="1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eastAsia="uk-UA"/>
        </w:rPr>
        <w:t>Кожен споживач має право придбати або не придбат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eastAsia="uk-UA"/>
        </w:rPr>
        <w:t>и продукцію з ГМО.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link w:val="10"/>
    <w:qFormat/>
    <w:rsid w:val="005e2684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">
    <w:name w:val="Heading 2"/>
    <w:basedOn w:val="Normal"/>
    <w:link w:val="20"/>
    <w:qFormat/>
    <w:rsid w:val="005e2684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3">
    <w:name w:val="Heading 3"/>
    <w:basedOn w:val="Normal"/>
    <w:link w:val="30"/>
    <w:qFormat/>
    <w:rsid w:val="005e2684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Normal"/>
    <w:link w:val="40"/>
    <w:qFormat/>
    <w:rsid w:val="005e2684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e268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5e268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5e2684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5e268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0" w:customStyle="1">
    <w:name w:val="Текст выноски Знак"/>
    <w:basedOn w:val="DefaultParagraphFont"/>
    <w:link w:val="a7"/>
    <w:uiPriority w:val="99"/>
    <w:semiHidden/>
    <w:qFormat/>
    <w:rsid w:val="005e2684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Times New Roman" w:hAnsi="Times New Roman" w:cs="Symbol"/>
      <w:sz w:val="28"/>
    </w:rPr>
  </w:style>
  <w:style w:type="character" w:styleId="ListLabel41">
    <w:name w:val="ListLabel 41"/>
    <w:qFormat/>
    <w:rPr>
      <w:rFonts w:cs="Courier New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cs="Wingdings"/>
      <w:sz w:val="20"/>
    </w:rPr>
  </w:style>
  <w:style w:type="character" w:styleId="ListLabel47">
    <w:name w:val="ListLabel 47"/>
    <w:qFormat/>
    <w:rPr>
      <w:rFonts w:cs="Wingdings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ascii="Times New Roman" w:hAnsi="Times New Roman" w:cs="Wingdings"/>
      <w:sz w:val="28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imes New Roman" w:hAnsi="Times New Roman" w:cs="Symbol"/>
      <w:sz w:val="28"/>
    </w:rPr>
  </w:style>
  <w:style w:type="character" w:styleId="ListLabel77">
    <w:name w:val="ListLabel 77"/>
    <w:qFormat/>
    <w:rPr>
      <w:rFonts w:cs="Courier New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cs="Wingdings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cs="Wingdings"/>
      <w:sz w:val="20"/>
    </w:rPr>
  </w:style>
  <w:style w:type="character" w:styleId="ListLabel83">
    <w:name w:val="ListLabel 83"/>
    <w:qFormat/>
    <w:rPr>
      <w:rFonts w:cs="Wingdings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imes New Roman" w:hAnsi="Times New Roman" w:cs="Wingdings"/>
      <w:sz w:val="28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Times New Roman" w:hAnsi="Times New Roman" w:cs="Symbol"/>
      <w:sz w:val="28"/>
    </w:rPr>
  </w:style>
  <w:style w:type="character" w:styleId="ListLabel113">
    <w:name w:val="ListLabel 113"/>
    <w:qFormat/>
    <w:rPr>
      <w:rFonts w:cs="Courier New"/>
      <w:sz w:val="20"/>
    </w:rPr>
  </w:style>
  <w:style w:type="character" w:styleId="ListLabel114">
    <w:name w:val="ListLabel 114"/>
    <w:qFormat/>
    <w:rPr>
      <w:rFonts w:cs="Wingdings"/>
      <w:sz w:val="20"/>
    </w:rPr>
  </w:style>
  <w:style w:type="character" w:styleId="ListLabel115">
    <w:name w:val="ListLabel 115"/>
    <w:qFormat/>
    <w:rPr>
      <w:rFonts w:cs="Wingdings"/>
      <w:sz w:val="20"/>
    </w:rPr>
  </w:style>
  <w:style w:type="character" w:styleId="ListLabel116">
    <w:name w:val="ListLabel 116"/>
    <w:qFormat/>
    <w:rPr>
      <w:rFonts w:cs="Wingdings"/>
      <w:sz w:val="20"/>
    </w:rPr>
  </w:style>
  <w:style w:type="character" w:styleId="ListLabel117">
    <w:name w:val="ListLabel 117"/>
    <w:qFormat/>
    <w:rPr>
      <w:rFonts w:cs="Wingdings"/>
      <w:sz w:val="20"/>
    </w:rPr>
  </w:style>
  <w:style w:type="character" w:styleId="ListLabel118">
    <w:name w:val="ListLabel 118"/>
    <w:qFormat/>
    <w:rPr>
      <w:rFonts w:cs="Wingdings"/>
      <w:sz w:val="20"/>
    </w:rPr>
  </w:style>
  <w:style w:type="character" w:styleId="ListLabel119">
    <w:name w:val="ListLabel 119"/>
    <w:qFormat/>
    <w:rPr>
      <w:rFonts w:cs="Wingdings"/>
      <w:sz w:val="20"/>
    </w:rPr>
  </w:style>
  <w:style w:type="character" w:styleId="ListLabel120">
    <w:name w:val="ListLabel 120"/>
    <w:qFormat/>
    <w:rPr>
      <w:rFonts w:cs="Wingdings"/>
      <w:sz w:val="20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ascii="Times New Roman" w:hAnsi="Times New Roman" w:cs="Wingdings"/>
      <w:sz w:val="28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Appleconvertedspace">
    <w:name w:val="apple-converted-space"/>
    <w:basedOn w:val="DefaultParagraphFont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360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5e2684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12" w:customStyle="1">
    <w:name w:val="Без интервала1"/>
    <w:qFormat/>
    <w:rsid w:val="005e268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uk-UA" w:eastAsia="en-US" w:bidi="ar-SA"/>
    </w:rPr>
  </w:style>
  <w:style w:type="paragraph" w:styleId="Style16" w:customStyle="1">
    <w:name w:val="Базовый"/>
    <w:qFormat/>
    <w:rsid w:val="005e2684"/>
    <w:pPr>
      <w:widowControl/>
      <w:suppressAutoHyphens w:val="true"/>
      <w:bidi w:val="0"/>
      <w:jc w:val="left"/>
    </w:pPr>
    <w:rPr>
      <w:rFonts w:ascii="Calibri" w:hAnsi="Calibri" w:eastAsia="DejaVu Sans" w:cs="Calibri" w:ascii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3" w:customStyle="1">
    <w:name w:val="Абзац списка1"/>
    <w:basedOn w:val="Normal"/>
    <w:qFormat/>
    <w:rsid w:val="005e2684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ru-RU"/>
    </w:rPr>
  </w:style>
  <w:style w:type="paragraph" w:styleId="22" w:customStyle="1">
    <w:name w:val="Абзац списка2"/>
    <w:basedOn w:val="Normal"/>
    <w:qFormat/>
    <w:rsid w:val="005e2684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5e2684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32" w:customStyle="1">
    <w:name w:val="Абзац списка3"/>
    <w:basedOn w:val="Normal"/>
    <w:uiPriority w:val="34"/>
    <w:qFormat/>
    <w:rsid w:val="005e2684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14">
    <w:name w:val="Обычный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uk-UA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e2684"/>
    <w:pPr>
      <w:spacing w:after="0" w:line="240" w:lineRule="auto"/>
    </w:pPr>
    <w:rPr>
      <w:lang w:val="ru-RU"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LibreOffice/6.0.3.2$Windows_X86_64 LibreOffice_project/8f48d515416608e3a835360314dac7e47fd0b821</Application>
  <Pages>2</Pages>
  <Words>281</Words>
  <Characters>1836</Characters>
  <CharactersWithSpaces>2089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2020-05-25T06:21:00Z</dcterms:created>
  <dc:creator>Наташа</dc:creator>
  <dc:description/>
  <dc:language>uk-UA</dc:language>
  <cp:lastModifiedBy/>
  <cp:lastPrinted>2020-05-25T06:26:00Z</cp:lastPrinted>
  <dcterms:modified xsi:type="dcterms:W3CDTF">2020-06-18T09:28:59Z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