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9D" w:rsidRDefault="0039509D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Роздаткові матеріали (за потреби) – на окремому аркуші</w:t>
      </w:r>
    </w:p>
    <w:p w:rsidR="00EE1245" w:rsidRPr="00A738F6" w:rsidRDefault="00EE1245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Аркуш із </w:t>
      </w:r>
      <w:r w:rsidR="000A3F4B">
        <w:rPr>
          <w:rFonts w:ascii="Times New Roman" w:eastAsia="Times New Roman" w:hAnsi="Times New Roman" w:cs="Times New Roman"/>
          <w:sz w:val="24"/>
          <w:szCs w:val="24"/>
        </w:rPr>
        <w:t>твердженнями</w:t>
      </w:r>
      <w:r w:rsidR="00A73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E1245" w:rsidTr="00182CF9">
        <w:tc>
          <w:tcPr>
            <w:tcW w:w="9629" w:type="dxa"/>
          </w:tcPr>
          <w:p w:rsidR="00EE1245" w:rsidRPr="00EE1245" w:rsidRDefault="00EE1245" w:rsidP="00182C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Основні цінності. </w:t>
            </w:r>
          </w:p>
          <w:p w:rsidR="00EE1245" w:rsidRDefault="00EE1245" w:rsidP="00182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E1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основі концепції прав людини лежать дві осно</w:t>
            </w:r>
            <w:r w:rsidR="00BF69F1">
              <w:rPr>
                <w:rFonts w:ascii="Times New Roman" w:eastAsia="Times New Roman" w:hAnsi="Times New Roman" w:cs="Times New Roman"/>
                <w:sz w:val="24"/>
                <w:szCs w:val="24"/>
              </w:rPr>
              <w:t>вні цінності. Перша — це людська гідність</w:t>
            </w:r>
            <w:r w:rsidRPr="00EE1245">
              <w:rPr>
                <w:rFonts w:ascii="Times New Roman" w:eastAsia="Times New Roman" w:hAnsi="Times New Roman" w:cs="Times New Roman"/>
                <w:sz w:val="24"/>
                <w:szCs w:val="24"/>
              </w:rPr>
              <w:t>, а друга — рівність. Права людини можна розуміти як щось, що визначає базові норми, необхідні для того, щоб жити з почуттям гідності, і їх універсальність випливає з того, що, принаймні, в цьому всі люди рівні. Ми не повинні і не можемо тут когось виокремлювати.</w:t>
            </w:r>
          </w:p>
          <w:p w:rsidR="00EE1245" w:rsidRPr="00EE1245" w:rsidRDefault="00EE1245" w:rsidP="00182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EE1245">
              <w:rPr>
                <w:rFonts w:ascii="Times New Roman" w:eastAsia="Times New Roman" w:hAnsi="Times New Roman" w:cs="Times New Roman"/>
                <w:sz w:val="24"/>
                <w:szCs w:val="24"/>
              </w:rPr>
              <w:t>ому ідея прав людини отримує підтримку з боку всіх світових культур, всіх цивілізовани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урядів, всіх основних релігій?</w:t>
            </w:r>
          </w:p>
        </w:tc>
      </w:tr>
      <w:tr w:rsidR="00182CF9" w:rsidTr="00182CF9">
        <w:tc>
          <w:tcPr>
            <w:tcW w:w="9629" w:type="dxa"/>
          </w:tcPr>
          <w:p w:rsidR="00182CF9" w:rsidRPr="00182CF9" w:rsidRDefault="00182CF9" w:rsidP="00182C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Ґендерна рівність в системі прав людини. </w:t>
            </w:r>
          </w:p>
          <w:p w:rsidR="00182CF9" w:rsidRDefault="00182CF9" w:rsidP="00182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sz w:val="24"/>
                <w:szCs w:val="24"/>
              </w:rPr>
              <w:t>Ґендерна рівність займає центральне місце у системі прав людини та серед цінностей Організації Об’єднаних Націй (ООН). Одним з фундаментальних принци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пів Статуту ООН </w:t>
            </w:r>
            <w:r w:rsidRPr="00182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є «рівні права чоловіків та жінок», а також захист та просування прав жінок, як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2CF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відповідальність кожної держави.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82CF9" w:rsidRDefault="00BF69F1" w:rsidP="00182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 вважаєте ви актуальним питання </w:t>
            </w:r>
            <w:r w:rsidRPr="00BF69F1">
              <w:rPr>
                <w:rFonts w:ascii="Times New Roman" w:eastAsia="Times New Roman" w:hAnsi="Times New Roman" w:cs="Times New Roman"/>
                <w:sz w:val="24"/>
                <w:szCs w:val="24"/>
              </w:rPr>
              <w:t>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ендерної рівності?</w:t>
            </w:r>
          </w:p>
        </w:tc>
      </w:tr>
      <w:tr w:rsidR="00182CF9" w:rsidTr="00182CF9">
        <w:tc>
          <w:tcPr>
            <w:tcW w:w="9629" w:type="dxa"/>
          </w:tcPr>
          <w:p w:rsidR="00D56540" w:rsidRDefault="00D56540" w:rsidP="00182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Ґендерна рівність в системі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законодавства України.</w:t>
            </w:r>
          </w:p>
          <w:p w:rsidR="00182CF9" w:rsidRDefault="00182CF9" w:rsidP="00182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Україна зобов’язалась до виконання ключових міжнародних зобов’язань щодо забезпечення ґендерної рівності.</w:t>
            </w:r>
            <w:r w:rsidR="00D56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6540" w:rsidRPr="00D56540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Підписана у 2014 році Угода про Асоціацію між Україною та ЄС зобов’язує до гарантування рівних можливостей для жінок та чоловіків у сферах працевлаштування, освіти, навчання, економіки, у суспільстві та прийнятті рішень. Ґендерна Рівність закріплена у Конституції України.</w:t>
            </w:r>
          </w:p>
          <w:p w:rsidR="00D56540" w:rsidRDefault="00D56540" w:rsidP="00182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Висловіть власну думку щодо необхідності ліквідації будь-яких проявів дискримінації в Україні.</w:t>
            </w:r>
          </w:p>
        </w:tc>
      </w:tr>
      <w:tr w:rsidR="00182CF9" w:rsidTr="00182CF9">
        <w:tc>
          <w:tcPr>
            <w:tcW w:w="9629" w:type="dxa"/>
          </w:tcPr>
          <w:p w:rsidR="00EE1245" w:rsidRPr="00EE1245" w:rsidRDefault="00EE1245" w:rsidP="00EE12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2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Ґендерні стереотипи як бар’єр у реалізації жінками своїх прав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D56540" w:rsidRPr="00D56540" w:rsidRDefault="00D56540" w:rsidP="00D565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Стереотипи довгий час сприймалися як </w:t>
            </w:r>
            <w:proofErr w:type="spellStart"/>
            <w:r w:rsidRPr="00D56540">
              <w:rPr>
                <w:rFonts w:ascii="Times New Roman" w:eastAsia="Times New Roman" w:hAnsi="Times New Roman" w:cs="Times New Roman"/>
                <w:sz w:val="24"/>
                <w:szCs w:val="24"/>
              </w:rPr>
              <w:t>позаюридичне</w:t>
            </w:r>
            <w:proofErr w:type="spellEnd"/>
            <w:r w:rsidRPr="00D56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явище.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6540">
              <w:rPr>
                <w:rFonts w:ascii="Times New Roman" w:eastAsia="Times New Roman" w:hAnsi="Times New Roman" w:cs="Times New Roman"/>
                <w:sz w:val="24"/>
                <w:szCs w:val="24"/>
              </w:rPr>
              <w:t>Однак все більшого визнання здобуває позиція, відповідно до якої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654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правового регулювання потребують випадки, коли стереотипне</w:t>
            </w:r>
            <w:r w:rsidR="00EE1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6540">
              <w:rPr>
                <w:rFonts w:ascii="Times New Roman" w:eastAsia="Times New Roman" w:hAnsi="Times New Roman" w:cs="Times New Roman"/>
                <w:sz w:val="24"/>
                <w:szCs w:val="24"/>
              </w:rPr>
              <w:t>уявлення спрямовується на конкретну людину через її належність до</w:t>
            </w:r>
            <w:r w:rsidR="00EE1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6540">
              <w:rPr>
                <w:rFonts w:ascii="Times New Roman" w:eastAsia="Times New Roman" w:hAnsi="Times New Roman" w:cs="Times New Roman"/>
                <w:sz w:val="24"/>
                <w:szCs w:val="24"/>
              </w:rPr>
              <w:t>певної соціальної групи (за статтю, за віком, за етнічним</w:t>
            </w:r>
            <w:r w:rsidR="00EE1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6540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походженням тощо), щодо якої сформувався той чи інший</w:t>
            </w:r>
            <w:r w:rsidR="00EE1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6540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стереотип, і це впливає на юридичне врегулювання ситуації. Так,</w:t>
            </w:r>
          </w:p>
          <w:p w:rsidR="00182CF9" w:rsidRDefault="00D56540" w:rsidP="00EE1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540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узагальнені уявлення про характеристики, ролі, якості чоловіків чи</w:t>
            </w:r>
            <w:r w:rsidR="00EE1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6540">
              <w:rPr>
                <w:rFonts w:ascii="Times New Roman" w:eastAsia="Times New Roman" w:hAnsi="Times New Roman" w:cs="Times New Roman"/>
                <w:sz w:val="24"/>
                <w:szCs w:val="24"/>
              </w:rPr>
              <w:t>жінок переносяться на конкретного чоловіка або на конкретну</w:t>
            </w:r>
            <w:r w:rsidR="00EE1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6540">
              <w:rPr>
                <w:rFonts w:ascii="Times New Roman" w:eastAsia="Times New Roman" w:hAnsi="Times New Roman" w:cs="Times New Roman"/>
                <w:sz w:val="24"/>
                <w:szCs w:val="24"/>
              </w:rPr>
              <w:t>жінку</w:t>
            </w:r>
            <w:r w:rsidR="00EE12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1245" w:rsidRDefault="00EE1245" w:rsidP="00EE1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Висловіть власну думку з даного твердження. </w:t>
            </w:r>
          </w:p>
        </w:tc>
      </w:tr>
      <w:tr w:rsidR="00BF69F1" w:rsidTr="00182CF9">
        <w:tc>
          <w:tcPr>
            <w:tcW w:w="9629" w:type="dxa"/>
          </w:tcPr>
          <w:p w:rsidR="00671C6C" w:rsidRPr="00671C6C" w:rsidRDefault="00671C6C" w:rsidP="00EE12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C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Вплив на економічний розвиток країни.</w:t>
            </w:r>
          </w:p>
          <w:p w:rsidR="00BF69F1" w:rsidRDefault="00BF69F1" w:rsidP="00EE1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52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Статево-віковий склад населення впливає на економічний розвиток країни та її</w:t>
            </w:r>
            <w:r w:rsidR="003C3528" w:rsidRPr="003C3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соціальну інфраструктуру. Тому, вибір відповідної демографічної політики країни є ключовим.</w:t>
            </w:r>
          </w:p>
          <w:p w:rsidR="003C3528" w:rsidRPr="003C3528" w:rsidRDefault="003C3528" w:rsidP="00EE1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погоджуєтесь із наведеним твердженням.</w:t>
            </w:r>
          </w:p>
        </w:tc>
      </w:tr>
      <w:tr w:rsidR="00BF69F1" w:rsidTr="00671C6C">
        <w:trPr>
          <w:trHeight w:val="1004"/>
        </w:trPr>
        <w:tc>
          <w:tcPr>
            <w:tcW w:w="9629" w:type="dxa"/>
          </w:tcPr>
          <w:p w:rsidR="00671C6C" w:rsidRPr="00671C6C" w:rsidRDefault="00671C6C" w:rsidP="00EE12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C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Механічний рух</w:t>
            </w:r>
          </w:p>
          <w:p w:rsidR="00BF69F1" w:rsidRDefault="00554A75" w:rsidP="00EE1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</w:rPr>
              <w:t>На чисельність населення, крім природного руху, впливає й механічний рух, або міграції – переміщення людей по території зазвичай зі зміною місця перебування назавжди або на певний проміжок часу.</w:t>
            </w:r>
          </w:p>
          <w:p w:rsidR="00671C6C" w:rsidRPr="00554A75" w:rsidRDefault="00671C6C" w:rsidP="00EE1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сприяють права людини можливість міграцій?</w:t>
            </w:r>
          </w:p>
        </w:tc>
      </w:tr>
      <w:tr w:rsidR="00554A75" w:rsidTr="00182CF9">
        <w:tc>
          <w:tcPr>
            <w:tcW w:w="9629" w:type="dxa"/>
          </w:tcPr>
          <w:p w:rsidR="00671C6C" w:rsidRPr="00671C6C" w:rsidRDefault="00671C6C" w:rsidP="00EE12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Демографічна політика</w:t>
            </w:r>
          </w:p>
          <w:p w:rsidR="00554A75" w:rsidRDefault="00554A75" w:rsidP="00EE1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</w:rPr>
              <w:t>У наш час майже 130 країн ведуть активну демографічну політику. Серед них усі високорозвинені держави та понад 80 тих, що розвиваються.</w:t>
            </w:r>
          </w:p>
          <w:p w:rsidR="00554A75" w:rsidRPr="00554A75" w:rsidRDefault="00554A75" w:rsidP="00EE1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Обґрунтуйте необхідність вести активну демографічну політику? </w:t>
            </w:r>
          </w:p>
        </w:tc>
      </w:tr>
      <w:tr w:rsidR="00554A75" w:rsidTr="00182CF9">
        <w:tc>
          <w:tcPr>
            <w:tcW w:w="9629" w:type="dxa"/>
          </w:tcPr>
          <w:p w:rsidR="00671C6C" w:rsidRPr="00671C6C" w:rsidRDefault="00671C6C" w:rsidP="00671C6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Демографічна політика Китаю та Індії.</w:t>
            </w:r>
          </w:p>
          <w:p w:rsidR="00554A75" w:rsidRDefault="00554A75" w:rsidP="00554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Найактивнішою демографічною політикою щодо зменшення народжуваності у ХХ ст. відзначилися Китай та Індія. Основними її напрямами були правовий, економічний і морально-психологічний тиск на населення. Закони, зокрема, збільшили шлюбний вік. Наприклад, в Індії для жінок – з 12 до 18 років, для чоловіків – з 14 до 21 року. У Китаї заборонено одружуватися молоді, яка здобуває освіту у вищих навчальних закладах, до закінчення навчання. Законом обмежено кількість дітей, яких дозволено мати: у Китаї – 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одна-дві дитини, в Індії та В’єтнамі – дві. У Китаї держава сплачує кошти на утримання однієї дитини, водночас стягуючи великі штрафи за другу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4A75" w:rsidRPr="00554A75" w:rsidRDefault="00554A75" w:rsidP="00554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 присутнє в даному випадку обмеження прав людини? </w:t>
            </w:r>
          </w:p>
        </w:tc>
      </w:tr>
      <w:tr w:rsidR="00554A75" w:rsidTr="00182CF9">
        <w:tc>
          <w:tcPr>
            <w:tcW w:w="9629" w:type="dxa"/>
          </w:tcPr>
          <w:p w:rsidR="00671C6C" w:rsidRPr="00671C6C" w:rsidRDefault="00671C6C" w:rsidP="00671C6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Демографічна політика </w:t>
            </w:r>
            <w:r w:rsidRPr="00671C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арабських та африканських країн.</w:t>
            </w:r>
          </w:p>
          <w:p w:rsidR="00554A75" w:rsidRDefault="00554A75" w:rsidP="00554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</w:rPr>
              <w:t>Найважче здійснювати демографічну політику в арабських країнах через релігійні та національні традиції, другорядне становище жінки у суспільстві. Осторонь політики планування родини стоїть і більша частина африканського континенту.</w:t>
            </w:r>
          </w:p>
          <w:p w:rsidR="00554A75" w:rsidRPr="00554A75" w:rsidRDefault="00671C6C" w:rsidP="00554A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яких наслідків може призвести вказана ситуація?</w:t>
            </w:r>
          </w:p>
        </w:tc>
      </w:tr>
      <w:tr w:rsidR="00671C6C" w:rsidTr="00182CF9">
        <w:tc>
          <w:tcPr>
            <w:tcW w:w="9629" w:type="dxa"/>
          </w:tcPr>
          <w:p w:rsidR="00671C6C" w:rsidRPr="00952987" w:rsidRDefault="00671C6C" w:rsidP="00671C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Однією з характеристик демографічної «старості» є </w:t>
            </w:r>
            <w:r w:rsidRPr="00952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середній вік населення</w:t>
            </w:r>
            <w:r w:rsidRPr="00952987">
              <w:rPr>
                <w:rFonts w:ascii="Times New Roman" w:eastAsia="Times New Roman" w:hAnsi="Times New Roman" w:cs="Times New Roman"/>
                <w:sz w:val="24"/>
                <w:szCs w:val="24"/>
              </w:rPr>
              <w:t>.   </w:t>
            </w:r>
          </w:p>
          <w:p w:rsidR="00671C6C" w:rsidRPr="00952987" w:rsidRDefault="00671C6C" w:rsidP="00671C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9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Найстаріші – європейські країни:</w:t>
            </w:r>
            <w:r w:rsidRPr="00952987">
              <w:rPr>
                <w:rFonts w:ascii="Times New Roman" w:eastAsia="Times New Roman" w:hAnsi="Times New Roman" w:cs="Times New Roman"/>
                <w:sz w:val="24"/>
                <w:szCs w:val="24"/>
              </w:rPr>
              <w:t> Монако – 49,4 року, Німеччина – 44,9 року, Італія – 43,5 року. З-поміж країн Азії найстаріша Японія – 44,8 року.</w:t>
            </w:r>
          </w:p>
          <w:p w:rsidR="00671C6C" w:rsidRPr="00952987" w:rsidRDefault="00671C6C" w:rsidP="00671C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9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Наймолодші – африканські країни:</w:t>
            </w:r>
            <w:r w:rsidRPr="00952987">
              <w:rPr>
                <w:rFonts w:ascii="Times New Roman" w:eastAsia="Times New Roman" w:hAnsi="Times New Roman" w:cs="Times New Roman"/>
                <w:sz w:val="24"/>
                <w:szCs w:val="24"/>
              </w:rPr>
              <w:t> Уганда – 15,1 року, Нігер – 15,2 року, Малі – 16,3 року. Україна належить до «старих» за середнім віком населення – 40,5 року. У селах цей показник ще більший – 44,2 року. За 1989–2013 рр. середній вік населення збільшився на 4 роки.</w:t>
            </w:r>
          </w:p>
          <w:p w:rsidR="00671C6C" w:rsidRPr="00952987" w:rsidRDefault="00952987" w:rsidP="00671C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987">
              <w:rPr>
                <w:rFonts w:ascii="Times New Roman" w:eastAsia="Times New Roman" w:hAnsi="Times New Roman" w:cs="Times New Roman"/>
                <w:sz w:val="24"/>
                <w:szCs w:val="24"/>
              </w:rPr>
              <w:t>Спрогнозуйте проблеми з дотриманням прав людини у африканських країнах.</w:t>
            </w:r>
          </w:p>
        </w:tc>
      </w:tr>
    </w:tbl>
    <w:p w:rsidR="00182CF9" w:rsidRDefault="00182CF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2987" w:rsidRDefault="0095298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52987" w:rsidSect="00671C6C">
      <w:pgSz w:w="11906" w:h="16838"/>
      <w:pgMar w:top="993" w:right="850" w:bottom="709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B08DB"/>
    <w:multiLevelType w:val="hybridMultilevel"/>
    <w:tmpl w:val="E8A24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D5A6C"/>
    <w:multiLevelType w:val="hybridMultilevel"/>
    <w:tmpl w:val="EA7E90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300DA3"/>
    <w:multiLevelType w:val="hybridMultilevel"/>
    <w:tmpl w:val="7E3A0D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9D"/>
    <w:rsid w:val="000A3F4B"/>
    <w:rsid w:val="00182CF9"/>
    <w:rsid w:val="00200983"/>
    <w:rsid w:val="00245670"/>
    <w:rsid w:val="00260541"/>
    <w:rsid w:val="00347412"/>
    <w:rsid w:val="0039509D"/>
    <w:rsid w:val="003C3528"/>
    <w:rsid w:val="00453399"/>
    <w:rsid w:val="00554A75"/>
    <w:rsid w:val="005F2EA9"/>
    <w:rsid w:val="00671C6C"/>
    <w:rsid w:val="0069309D"/>
    <w:rsid w:val="006C4D41"/>
    <w:rsid w:val="00773929"/>
    <w:rsid w:val="0079547E"/>
    <w:rsid w:val="00921811"/>
    <w:rsid w:val="0094091C"/>
    <w:rsid w:val="00952987"/>
    <w:rsid w:val="00974B9D"/>
    <w:rsid w:val="00A738F6"/>
    <w:rsid w:val="00A91C4E"/>
    <w:rsid w:val="00AE0A78"/>
    <w:rsid w:val="00BF69F1"/>
    <w:rsid w:val="00CE42ED"/>
    <w:rsid w:val="00D56540"/>
    <w:rsid w:val="00DE3E21"/>
    <w:rsid w:val="00E339E6"/>
    <w:rsid w:val="00EA6AA5"/>
    <w:rsid w:val="00EE1245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1085"/>
  <w15:docId w15:val="{6BDA3B9E-B9C5-4763-89DE-AEA408EE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091C"/>
    <w:pPr>
      <w:ind w:left="720"/>
      <w:contextualSpacing/>
    </w:pPr>
  </w:style>
  <w:style w:type="table" w:styleId="a7">
    <w:name w:val="Table Grid"/>
    <w:basedOn w:val="a1"/>
    <w:uiPriority w:val="39"/>
    <w:rsid w:val="00182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739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Galyna Lomakina</cp:lastModifiedBy>
  <cp:revision>2</cp:revision>
  <dcterms:created xsi:type="dcterms:W3CDTF">2020-06-21T08:43:00Z</dcterms:created>
  <dcterms:modified xsi:type="dcterms:W3CDTF">2020-06-21T08:43:00Z</dcterms:modified>
</cp:coreProperties>
</file>